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1E" w:rsidRPr="00A26B36" w:rsidRDefault="001D76FD" w:rsidP="00445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0005" cy="20072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00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5B1E" w:rsidRPr="00A26B36" w:rsidRDefault="00445B1E" w:rsidP="00445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нструкция по охране труда</w:t>
      </w:r>
    </w:p>
    <w:p w:rsidR="00445B1E" w:rsidRPr="00E109EF" w:rsidRDefault="00E109EF" w:rsidP="00445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109E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</w:t>
      </w:r>
      <w:r w:rsidR="00445B1E" w:rsidRPr="00E109EF">
        <w:rPr>
          <w:rFonts w:ascii="Times New Roman" w:hAnsi="Times New Roman" w:cs="Times New Roman"/>
          <w:b/>
          <w:sz w:val="28"/>
          <w:szCs w:val="32"/>
        </w:rPr>
        <w:t>ля настройщика музыкальных инструментов</w:t>
      </w:r>
    </w:p>
    <w:p w:rsidR="00445B1E" w:rsidRPr="00626763" w:rsidRDefault="00445B1E" w:rsidP="00445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445B1E" w:rsidRPr="00E109EF" w:rsidRDefault="00E109EF" w:rsidP="00445B1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109EF">
        <w:rPr>
          <w:rFonts w:ascii="Times New Roman" w:hAnsi="Times New Roman" w:cs="Times New Roman"/>
          <w:b/>
          <w:sz w:val="28"/>
          <w:szCs w:val="32"/>
        </w:rPr>
        <w:t>ИОТ- 28</w:t>
      </w:r>
      <w:r w:rsidR="00445B1E" w:rsidRPr="00E109EF">
        <w:rPr>
          <w:rFonts w:ascii="Times New Roman" w:hAnsi="Times New Roman" w:cs="Times New Roman"/>
          <w:b/>
          <w:sz w:val="28"/>
          <w:szCs w:val="32"/>
        </w:rPr>
        <w:t xml:space="preserve"> -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445B1E" w:rsidRPr="00E109EF">
        <w:rPr>
          <w:rFonts w:ascii="Times New Roman" w:hAnsi="Times New Roman" w:cs="Times New Roman"/>
          <w:b/>
          <w:sz w:val="28"/>
          <w:szCs w:val="32"/>
        </w:rPr>
        <w:t>2024</w:t>
      </w:r>
    </w:p>
    <w:p w:rsidR="00445B1E" w:rsidRDefault="00445B1E" w:rsidP="00BE49C9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49C9" w:rsidRDefault="00BE49C9" w:rsidP="00BE49C9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B3F">
        <w:rPr>
          <w:rFonts w:ascii="Times New Roman" w:hAnsi="Times New Roman" w:cs="Times New Roman"/>
          <w:i/>
          <w:sz w:val="24"/>
          <w:szCs w:val="24"/>
        </w:rPr>
        <w:t xml:space="preserve">Инструкция по охране труда разработана в соответствии с требованиями </w:t>
      </w:r>
      <w:r w:rsidR="00E109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Приказа </w:t>
      </w:r>
      <w:r w:rsidRPr="004E2B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4E2B3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4E2B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BE49C9" w:rsidRDefault="00BE49C9" w:rsidP="00830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FC8" w:rsidRPr="0093147D" w:rsidRDefault="00075FC8" w:rsidP="008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075FC8" w:rsidRPr="0093147D" w:rsidRDefault="00075FC8" w:rsidP="008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FC8" w:rsidRPr="0093147D" w:rsidRDefault="00075FC8" w:rsidP="00830ED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042010" w:rsidRPr="0093147D">
        <w:rPr>
          <w:rFonts w:ascii="Times New Roman" w:hAnsi="Times New Roman" w:cs="Times New Roman"/>
          <w:sz w:val="24"/>
          <w:szCs w:val="24"/>
        </w:rPr>
        <w:t xml:space="preserve">для </w:t>
      </w:r>
      <w:r w:rsidR="004E2B3F">
        <w:rPr>
          <w:rFonts w:ascii="Times New Roman" w:hAnsi="Times New Roman" w:cs="Times New Roman"/>
          <w:sz w:val="24"/>
          <w:szCs w:val="24"/>
        </w:rPr>
        <w:t>настройщика музыкальных инструментов</w:t>
      </w:r>
      <w:r w:rsidR="00BD014F" w:rsidRPr="0093147D">
        <w:rPr>
          <w:rFonts w:ascii="Times New Roman" w:hAnsi="Times New Roman" w:cs="Times New Roman"/>
          <w:sz w:val="24"/>
          <w:szCs w:val="24"/>
        </w:rPr>
        <w:t>.</w:t>
      </w:r>
    </w:p>
    <w:p w:rsidR="00075FC8" w:rsidRPr="0093147D" w:rsidRDefault="00075FC8" w:rsidP="00830ED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1.2. К самостоятельной работе </w:t>
      </w:r>
      <w:r w:rsidR="00687E24">
        <w:rPr>
          <w:rFonts w:ascii="Times New Roman" w:hAnsi="Times New Roman" w:cs="Times New Roman"/>
          <w:sz w:val="24"/>
          <w:szCs w:val="24"/>
        </w:rPr>
        <w:t>настройщик</w:t>
      </w:r>
      <w:r w:rsidR="003A6374">
        <w:rPr>
          <w:rFonts w:ascii="Times New Roman" w:hAnsi="Times New Roman" w:cs="Times New Roman"/>
          <w:sz w:val="24"/>
          <w:szCs w:val="24"/>
        </w:rPr>
        <w:t>о</w:t>
      </w:r>
      <w:r w:rsidR="00771799" w:rsidRPr="0093147D">
        <w:rPr>
          <w:rFonts w:ascii="Times New Roman" w:hAnsi="Times New Roman" w:cs="Times New Roman"/>
          <w:sz w:val="24"/>
          <w:szCs w:val="24"/>
        </w:rPr>
        <w:t>м</w:t>
      </w:r>
      <w:r w:rsidR="00687E24" w:rsidRPr="00687E24">
        <w:rPr>
          <w:rFonts w:ascii="Times New Roman" w:hAnsi="Times New Roman" w:cs="Times New Roman"/>
          <w:sz w:val="24"/>
          <w:szCs w:val="24"/>
        </w:rPr>
        <w:t xml:space="preserve"> </w:t>
      </w:r>
      <w:r w:rsidR="004E2B3F">
        <w:rPr>
          <w:rFonts w:ascii="Times New Roman" w:hAnsi="Times New Roman" w:cs="Times New Roman"/>
          <w:sz w:val="24"/>
          <w:szCs w:val="24"/>
        </w:rPr>
        <w:t>музыкальных инструментов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075FC8" w:rsidRPr="0093147D" w:rsidRDefault="00075FC8" w:rsidP="00830ED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FC8" w:rsidRPr="0093147D" w:rsidRDefault="00075FC8" w:rsidP="00830ED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075FC8" w:rsidRPr="0093147D" w:rsidRDefault="00075FC8" w:rsidP="00830ED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Работник, </w:t>
      </w:r>
      <w:r w:rsidR="00445B1E" w:rsidRPr="0093147D">
        <w:rPr>
          <w:rFonts w:ascii="Times New Roman" w:hAnsi="Times New Roman" w:cs="Times New Roman"/>
          <w:color w:val="000000"/>
          <w:sz w:val="24"/>
          <w:szCs w:val="24"/>
        </w:rPr>
        <w:t>получивший инструктаж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 и показавший неудовлетворительные знания, к работе не допускается. Он обязан вновь пройти инструктаж.</w:t>
      </w:r>
    </w:p>
    <w:p w:rsidR="00075FC8" w:rsidRDefault="00075FC8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E71F9" w:rsidRDefault="00CE71F9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обязан соблюдать правила внутреннего трудового распорядка, утвержденные в </w:t>
      </w:r>
      <w:r w:rsidR="00445B1E">
        <w:rPr>
          <w:rFonts w:ascii="Times New Roman" w:hAnsi="Times New Roman" w:cs="Times New Roman"/>
          <w:sz w:val="24"/>
          <w:szCs w:val="24"/>
        </w:rPr>
        <w:t>МКУДО БДШИ</w:t>
      </w:r>
      <w:r w:rsidR="004E2B3F">
        <w:rPr>
          <w:rFonts w:ascii="Times New Roman" w:hAnsi="Times New Roman" w:cs="Times New Roman"/>
          <w:spacing w:val="-1"/>
          <w:lang w:eastAsia="ru-RU"/>
        </w:rPr>
        <w:t>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1D69EC" w:rsidP="00830ED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4E2B3F">
        <w:rPr>
          <w:rFonts w:ascii="Times New Roman" w:hAnsi="Times New Roman" w:cs="Times New Roman"/>
          <w:sz w:val="24"/>
          <w:szCs w:val="24"/>
        </w:rPr>
        <w:t>Настройщик музыкальных инструментов</w:t>
      </w:r>
      <w:r w:rsidR="00687E24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должен быть ознакомлен с режимом труда и отдыха в учреждении и обязательно соблюдать его. </w:t>
      </w:r>
    </w:p>
    <w:p w:rsidR="00705F29" w:rsidRPr="0093147D" w:rsidRDefault="00075FC8" w:rsidP="00830ED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4E2B3F">
        <w:rPr>
          <w:rFonts w:ascii="Times New Roman" w:hAnsi="Times New Roman" w:cs="Times New Roman"/>
          <w:sz w:val="24"/>
          <w:szCs w:val="24"/>
        </w:rPr>
        <w:t>настройщика музыкальных инструментов</w:t>
      </w:r>
      <w:r w:rsidRPr="0093147D">
        <w:rPr>
          <w:rFonts w:ascii="Times New Roman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0B0D77" w:rsidRPr="00876014" w:rsidRDefault="000B0D77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014">
        <w:rPr>
          <w:rFonts w:ascii="Times New Roman" w:hAnsi="Times New Roman" w:cs="Times New Roman"/>
          <w:sz w:val="24"/>
          <w:szCs w:val="24"/>
        </w:rPr>
        <w:t xml:space="preserve">- подвижные части производственного оборудования; </w:t>
      </w:r>
    </w:p>
    <w:p w:rsidR="000B0D77" w:rsidRPr="00876014" w:rsidRDefault="000B0D77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014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человека;</w:t>
      </w:r>
    </w:p>
    <w:p w:rsidR="00AE165E" w:rsidRPr="0093147D" w:rsidRDefault="000B0D77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014">
        <w:rPr>
          <w:rFonts w:ascii="Times New Roman" w:hAnsi="Times New Roman" w:cs="Times New Roman"/>
          <w:sz w:val="24"/>
          <w:szCs w:val="24"/>
        </w:rPr>
        <w:t>- острые кромки, заусенцы и шероховатость на поверхностях заготовок, инструментов и оборудования.</w:t>
      </w:r>
    </w:p>
    <w:p w:rsidR="00415BC6" w:rsidRPr="004E2B3F" w:rsidRDefault="00873579" w:rsidP="004E2B3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10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  <w:r w:rsidR="00D4453B" w:rsidRPr="004E2B3F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при</w:t>
      </w:r>
      <w:r w:rsidR="00415BC6" w:rsidRPr="004E2B3F">
        <w:rPr>
          <w:rFonts w:ascii="Times New Roman" w:hAnsi="Times New Roman" w:cs="Times New Roman"/>
          <w:sz w:val="24"/>
          <w:szCs w:val="24"/>
        </w:rPr>
        <w:t xml:space="preserve"> исполнении должностных обязанностей </w:t>
      </w:r>
      <w:r w:rsidR="004E2B3F" w:rsidRPr="004E2B3F">
        <w:rPr>
          <w:rFonts w:ascii="Times New Roman" w:hAnsi="Times New Roman" w:cs="Times New Roman"/>
          <w:sz w:val="24"/>
          <w:szCs w:val="24"/>
        </w:rPr>
        <w:t>настройщика музыкальных инструментов</w:t>
      </w:r>
      <w:r w:rsidR="00025180" w:rsidRPr="004E2B3F">
        <w:rPr>
          <w:rFonts w:ascii="Times New Roman" w:hAnsi="Times New Roman" w:cs="Times New Roman"/>
          <w:sz w:val="24"/>
          <w:szCs w:val="24"/>
        </w:rPr>
        <w:t>:</w:t>
      </w:r>
    </w:p>
    <w:p w:rsidR="000B0D77" w:rsidRPr="004E2B3F" w:rsidRDefault="000B0D77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B3F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при исполнении должностных обязанностей повара:</w:t>
      </w:r>
    </w:p>
    <w:p w:rsidR="000B0D77" w:rsidRPr="004E2B3F" w:rsidRDefault="000B0D77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2B3F">
        <w:rPr>
          <w:rFonts w:ascii="Times New Roman" w:hAnsi="Times New Roman"/>
          <w:sz w:val="24"/>
          <w:szCs w:val="24"/>
        </w:rPr>
        <w:t>- опасность пореза в результате воздействия движущихся режущих частей механизмов, машин;</w:t>
      </w:r>
    </w:p>
    <w:p w:rsidR="000B0D77" w:rsidRPr="004E2B3F" w:rsidRDefault="000B0D77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2B3F">
        <w:rPr>
          <w:rFonts w:ascii="Times New Roman" w:hAnsi="Times New Roman"/>
          <w:sz w:val="24"/>
          <w:szCs w:val="24"/>
        </w:rPr>
        <w:t>- опасность удара из-за падения снега или сосулек с крыши;</w:t>
      </w:r>
    </w:p>
    <w:p w:rsidR="000B0D77" w:rsidRPr="004E2B3F" w:rsidRDefault="000B0D77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2B3F">
        <w:rPr>
          <w:rFonts w:ascii="Times New Roman" w:hAnsi="Times New Roman"/>
          <w:sz w:val="24"/>
          <w:szCs w:val="24"/>
        </w:rPr>
        <w:t>- опасность пореза в результате воздействия острого режущего инструмента;</w:t>
      </w:r>
    </w:p>
    <w:p w:rsidR="000B0D77" w:rsidRPr="004E2B3F" w:rsidRDefault="000B0D77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2B3F">
        <w:rPr>
          <w:rFonts w:ascii="Times New Roman" w:hAnsi="Times New Roman"/>
          <w:sz w:val="24"/>
          <w:szCs w:val="24"/>
        </w:rPr>
        <w:t xml:space="preserve">- опасность падения из-за потери равновесия при </w:t>
      </w:r>
      <w:proofErr w:type="spellStart"/>
      <w:r w:rsidRPr="004E2B3F">
        <w:rPr>
          <w:rFonts w:ascii="Times New Roman" w:hAnsi="Times New Roman"/>
          <w:sz w:val="24"/>
          <w:szCs w:val="24"/>
        </w:rPr>
        <w:t>поскальзывании</w:t>
      </w:r>
      <w:proofErr w:type="spellEnd"/>
      <w:r w:rsidRPr="004E2B3F">
        <w:rPr>
          <w:rFonts w:ascii="Times New Roman" w:hAnsi="Times New Roman"/>
          <w:sz w:val="24"/>
          <w:szCs w:val="24"/>
        </w:rPr>
        <w:t>, при передвижении по скользким поверхностям или мокрым полам;</w:t>
      </w:r>
    </w:p>
    <w:p w:rsidR="000B0D77" w:rsidRPr="004E2B3F" w:rsidRDefault="000B0D77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2B3F">
        <w:rPr>
          <w:rFonts w:ascii="Times New Roman" w:hAnsi="Times New Roman"/>
          <w:sz w:val="24"/>
          <w:szCs w:val="24"/>
        </w:rPr>
        <w:t>- опасность падения из-за потери равновесия при спотыкании;</w:t>
      </w:r>
    </w:p>
    <w:p w:rsidR="000B0D77" w:rsidRPr="004E2B3F" w:rsidRDefault="000B0D77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2B3F">
        <w:rPr>
          <w:rFonts w:ascii="Times New Roman" w:hAnsi="Times New Roman"/>
          <w:sz w:val="24"/>
          <w:szCs w:val="24"/>
        </w:rPr>
        <w:t>- 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в.;</w:t>
      </w:r>
    </w:p>
    <w:p w:rsidR="000B0D77" w:rsidRPr="004E2B3F" w:rsidRDefault="000B0D77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2B3F">
        <w:rPr>
          <w:rFonts w:ascii="Times New Roman" w:hAnsi="Times New Roman"/>
          <w:sz w:val="24"/>
          <w:szCs w:val="24"/>
        </w:rPr>
        <w:t>- опасность физических перегрузок при неудобной рабочей позе;</w:t>
      </w:r>
    </w:p>
    <w:p w:rsidR="000B0D77" w:rsidRPr="004E2B3F" w:rsidRDefault="000B0D77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2B3F">
        <w:rPr>
          <w:rFonts w:ascii="Times New Roman" w:hAnsi="Times New Roman"/>
          <w:sz w:val="24"/>
          <w:szCs w:val="24"/>
        </w:rPr>
        <w:t>- опасность физических перегрузок при чрезмерных физических усилиях при перемещении предметов и деталей;</w:t>
      </w:r>
    </w:p>
    <w:p w:rsidR="00687E24" w:rsidRPr="004E2B3F" w:rsidRDefault="000B0D77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2B3F">
        <w:rPr>
          <w:rFonts w:ascii="Times New Roman" w:hAnsi="Times New Roman"/>
          <w:sz w:val="24"/>
          <w:szCs w:val="24"/>
        </w:rPr>
        <w:t>- опасность от вдыхания дыма, паров вредных газов и пыли при пожаре</w:t>
      </w:r>
      <w:r w:rsidR="00687E24" w:rsidRPr="004E2B3F">
        <w:rPr>
          <w:rFonts w:ascii="Times New Roman" w:hAnsi="Times New Roman"/>
          <w:sz w:val="24"/>
          <w:szCs w:val="24"/>
        </w:rPr>
        <w:t>.</w:t>
      </w:r>
    </w:p>
    <w:p w:rsidR="00122F32" w:rsidRPr="00123FE0" w:rsidRDefault="00122F32" w:rsidP="00830ED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CE71F9" w:rsidRPr="0093147D" w:rsidRDefault="00CE71F9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315466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4E2B3F">
        <w:rPr>
          <w:rFonts w:ascii="Times New Roman" w:hAnsi="Times New Roman" w:cs="Times New Roman"/>
          <w:sz w:val="24"/>
          <w:szCs w:val="24"/>
        </w:rPr>
        <w:t>Настройщик музыкальных инструментов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</w:t>
      </w:r>
      <w:r w:rsidR="003414D0">
        <w:rPr>
          <w:rFonts w:ascii="Times New Roman" w:hAnsi="Times New Roman" w:cs="Times New Roman"/>
          <w:sz w:val="24"/>
          <w:szCs w:val="24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</w:rPr>
        <w:t>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3154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315466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Default="00CE71F9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F3C">
        <w:rPr>
          <w:rFonts w:ascii="Times New Roman" w:hAnsi="Times New Roman" w:cs="Times New Roman"/>
          <w:sz w:val="24"/>
          <w:szCs w:val="24"/>
        </w:rPr>
        <w:t>1.1</w:t>
      </w:r>
      <w:r w:rsidR="00315466">
        <w:rPr>
          <w:rFonts w:ascii="Times New Roman" w:hAnsi="Times New Roman" w:cs="Times New Roman"/>
          <w:sz w:val="24"/>
          <w:szCs w:val="24"/>
        </w:rPr>
        <w:t>4</w:t>
      </w:r>
      <w:r w:rsidRPr="000B2F3C">
        <w:rPr>
          <w:rFonts w:ascii="Times New Roman" w:hAnsi="Times New Roman" w:cs="Times New Roman"/>
          <w:sz w:val="24"/>
          <w:szCs w:val="24"/>
        </w:rPr>
        <w:t xml:space="preserve">. При выполнении работ </w:t>
      </w:r>
      <w:r w:rsidR="004E2B3F">
        <w:rPr>
          <w:rFonts w:ascii="Times New Roman" w:hAnsi="Times New Roman" w:cs="Times New Roman"/>
          <w:sz w:val="24"/>
          <w:szCs w:val="24"/>
        </w:rPr>
        <w:t>настройщик музыкальных инструментов</w:t>
      </w:r>
      <w:r w:rsidRPr="000B2F3C">
        <w:rPr>
          <w:rFonts w:ascii="Times New Roman" w:hAnsi="Times New Roman" w:cs="Times New Roman"/>
          <w:sz w:val="24"/>
          <w:szCs w:val="24"/>
        </w:rPr>
        <w:t xml:space="preserve"> должен руководствоваться требованиями </w:t>
      </w:r>
      <w:r w:rsidRPr="000B2F3C">
        <w:rPr>
          <w:rStyle w:val="af2"/>
          <w:rFonts w:ascii="Times New Roman" w:hAnsi="Times New Roman" w:cs="Times New Roman"/>
          <w:b w:val="0"/>
          <w:sz w:val="24"/>
          <w:szCs w:val="24"/>
        </w:rPr>
        <w:t>СП 2.4.3648-20</w:t>
      </w:r>
      <w:r w:rsidRPr="000B2F3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молодежи».</w:t>
      </w:r>
    </w:p>
    <w:p w:rsidR="00CE71F9" w:rsidRPr="0093147D" w:rsidRDefault="00CE71F9" w:rsidP="00830ED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315466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</w:t>
      </w:r>
      <w:proofErr w:type="spellStart"/>
      <w:r w:rsidRPr="0093147D"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  <w:r w:rsidRPr="0093147D">
        <w:rPr>
          <w:rFonts w:ascii="Times New Roman" w:hAnsi="Times New Roman" w:cs="Times New Roman"/>
          <w:sz w:val="24"/>
          <w:szCs w:val="24"/>
        </w:rPr>
        <w:t xml:space="preserve"> и поражений электрическим током </w:t>
      </w:r>
      <w:r w:rsidR="004E2B3F">
        <w:rPr>
          <w:rFonts w:ascii="Times New Roman" w:hAnsi="Times New Roman" w:cs="Times New Roman"/>
          <w:sz w:val="24"/>
          <w:szCs w:val="24"/>
        </w:rPr>
        <w:t>настройщик музыкальных инструментов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315466">
        <w:rPr>
          <w:rFonts w:ascii="Times New Roman" w:hAnsi="Times New Roman" w:cs="Times New Roman"/>
          <w:sz w:val="24"/>
          <w:szCs w:val="24"/>
        </w:rPr>
        <w:t>6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4E2B3F">
        <w:rPr>
          <w:rFonts w:ascii="Times New Roman" w:hAnsi="Times New Roman" w:cs="Times New Roman"/>
          <w:sz w:val="24"/>
          <w:szCs w:val="24"/>
        </w:rPr>
        <w:t>Настройщик музыкальных инструментов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315466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315466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Курить разрешается только в специально </w:t>
      </w:r>
      <w:r w:rsidR="00445B1E" w:rsidRPr="0093147D">
        <w:rPr>
          <w:rFonts w:ascii="Times New Roman" w:hAnsi="Times New Roman" w:cs="Times New Roman"/>
          <w:sz w:val="24"/>
          <w:szCs w:val="24"/>
          <w:lang w:eastAsia="ru-RU"/>
        </w:rPr>
        <w:t>отведенных и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оборудованных местах.</w:t>
      </w:r>
    </w:p>
    <w:p w:rsidR="00D871A8" w:rsidRDefault="0093147D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315466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4E2B3F">
        <w:rPr>
          <w:rFonts w:ascii="Times New Roman" w:hAnsi="Times New Roman" w:cs="Times New Roman"/>
          <w:sz w:val="24"/>
          <w:szCs w:val="24"/>
        </w:rPr>
        <w:t>Настройщик музыкальных инструментов</w:t>
      </w:r>
      <w:r w:rsidR="00687E24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FC617D" w:rsidRPr="0093147D">
        <w:rPr>
          <w:rFonts w:ascii="Times New Roman" w:hAnsi="Times New Roman" w:cs="Times New Roman"/>
          <w:sz w:val="24"/>
          <w:szCs w:val="24"/>
        </w:rPr>
        <w:t>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315466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830ED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315466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830ED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315466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830E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8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3B53AB" w:rsidRPr="0093147D" w:rsidRDefault="003B53AB" w:rsidP="00830E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6AF" w:rsidRDefault="00ED5FCA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2.1.</w:t>
      </w:r>
      <w:r w:rsidR="00A806AF"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06AF" w:rsidRPr="0093147D">
        <w:rPr>
          <w:rFonts w:ascii="Times New Roman" w:hAnsi="Times New Roman" w:cs="Times New Roman"/>
          <w:sz w:val="24"/>
          <w:szCs w:val="24"/>
          <w:lang w:eastAsia="ru-RU"/>
        </w:rPr>
        <w:t>Осмотреть и подготовить свое рабочее место, убрать все лишние предметы, не загромождая при этом проходы.</w:t>
      </w:r>
    </w:p>
    <w:p w:rsidR="00A806AF" w:rsidRDefault="00A806AF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A806AF" w:rsidRDefault="00A806AF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Default="00A806AF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A806AF" w:rsidRDefault="00A806AF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93147D">
        <w:rPr>
          <w:rFonts w:ascii="Times New Roman" w:hAnsi="Times New Roman" w:cs="Times New Roman"/>
          <w:sz w:val="24"/>
          <w:szCs w:val="24"/>
        </w:rPr>
        <w:t>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:rsidR="00315466" w:rsidRPr="00B22587" w:rsidRDefault="00315466" w:rsidP="00830ED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2258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B22587">
        <w:rPr>
          <w:rFonts w:ascii="Times New Roman" w:hAnsi="Times New Roman"/>
          <w:sz w:val="24"/>
          <w:szCs w:val="24"/>
        </w:rPr>
        <w:t>. Проверить правильность подключения оборудования в электросеть. Убедиться в наличии защитного заземления.</w:t>
      </w:r>
    </w:p>
    <w:p w:rsidR="00315466" w:rsidRDefault="00315466" w:rsidP="00830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830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A42759" w:rsidRPr="0093147D" w:rsidRDefault="00A42759" w:rsidP="00830ED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1A3A04" w:rsidRPr="0093147D" w:rsidRDefault="001A3A04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830ED2">
      <w:pPr>
        <w:pStyle w:val="ConsNormal"/>
        <w:widowControl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1A3A04" w:rsidRPr="0093147D" w:rsidRDefault="0086092D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2B3F1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1A6290" w:rsidRPr="00551125" w:rsidRDefault="001A6290" w:rsidP="00830ED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125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395EA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551125">
        <w:rPr>
          <w:rFonts w:ascii="Times New Roman" w:hAnsi="Times New Roman" w:cs="Times New Roman"/>
          <w:color w:val="000000" w:themeColor="text1"/>
          <w:sz w:val="24"/>
          <w:szCs w:val="24"/>
        </w:rPr>
        <w:t>. При поднятой крышке музыкального инструмента (</w:t>
      </w:r>
      <w:r w:rsidR="00B362F9">
        <w:rPr>
          <w:rFonts w:ascii="Times New Roman" w:hAnsi="Times New Roman" w:cs="Times New Roman"/>
          <w:color w:val="000000" w:themeColor="text1"/>
          <w:sz w:val="24"/>
          <w:szCs w:val="24"/>
        </w:rPr>
        <w:t>фортепиано</w:t>
      </w:r>
      <w:r w:rsidRPr="00551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следить за тем, чтобы крышка надежно и устойчиво опиралась на упор, не подставлять под поднятую крышку руки. </w:t>
      </w:r>
    </w:p>
    <w:p w:rsidR="00D50004" w:rsidRPr="0093147D" w:rsidRDefault="00D50004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395EA2">
        <w:rPr>
          <w:rFonts w:ascii="Times New Roman" w:hAnsi="Times New Roman" w:cs="Times New Roman"/>
          <w:sz w:val="24"/>
          <w:szCs w:val="24"/>
        </w:rPr>
        <w:t>10</w:t>
      </w:r>
      <w:r w:rsidRPr="0093147D">
        <w:rPr>
          <w:rFonts w:ascii="Times New Roman" w:hAnsi="Times New Roman" w:cs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D50004" w:rsidRPr="0093147D" w:rsidRDefault="00D50004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395EA2">
        <w:rPr>
          <w:rFonts w:ascii="Times New Roman" w:hAnsi="Times New Roman" w:cs="Times New Roman"/>
          <w:sz w:val="24"/>
          <w:szCs w:val="24"/>
        </w:rPr>
        <w:t>11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хождении по территории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D50004" w:rsidRPr="0093147D" w:rsidRDefault="00D50004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395EA2">
        <w:rPr>
          <w:rFonts w:ascii="Times New Roman" w:hAnsi="Times New Roman" w:cs="Times New Roman"/>
          <w:sz w:val="24"/>
          <w:szCs w:val="24"/>
        </w:rPr>
        <w:t>12</w:t>
      </w:r>
      <w:r w:rsidRPr="0093147D">
        <w:rPr>
          <w:rFonts w:ascii="Times New Roman" w:hAnsi="Times New Roman" w:cs="Times New Roman"/>
          <w:sz w:val="24"/>
          <w:szCs w:val="24"/>
        </w:rPr>
        <w:t>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94D8B" w:rsidRPr="0093147D" w:rsidRDefault="00AE165E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395EA2">
        <w:rPr>
          <w:rFonts w:ascii="Times New Roman" w:hAnsi="Times New Roman" w:cs="Times New Roman"/>
          <w:sz w:val="24"/>
          <w:szCs w:val="24"/>
        </w:rPr>
        <w:t>13</w:t>
      </w:r>
      <w:r w:rsidR="00794D8B" w:rsidRPr="0093147D">
        <w:rPr>
          <w:rFonts w:ascii="Times New Roman" w:hAnsi="Times New Roman" w:cs="Times New Roman"/>
          <w:sz w:val="24"/>
          <w:szCs w:val="24"/>
        </w:rPr>
        <w:t>. При работе с электрооборудованием:</w:t>
      </w:r>
    </w:p>
    <w:p w:rsidR="00794D8B" w:rsidRPr="0093147D" w:rsidRDefault="00794D8B" w:rsidP="00830E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95EA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794D8B" w:rsidRPr="0093147D" w:rsidRDefault="00794D8B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Cs/>
          <w:sz w:val="24"/>
          <w:szCs w:val="24"/>
        </w:rPr>
        <w:t>3.</w:t>
      </w:r>
      <w:r w:rsidR="00395EA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3147D">
        <w:rPr>
          <w:rFonts w:ascii="Times New Roman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93147D">
        <w:rPr>
          <w:rFonts w:ascii="Times New Roman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794D8B" w:rsidRPr="0093147D" w:rsidRDefault="00794D8B" w:rsidP="00830E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95EA2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94D8B" w:rsidRPr="0093147D" w:rsidRDefault="00794D8B" w:rsidP="00830ED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95EA2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Pr="0093147D">
        <w:rPr>
          <w:rStyle w:val="fs1"/>
          <w:rFonts w:ascii="Times New Roman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794D8B" w:rsidRPr="0093147D" w:rsidRDefault="00794D8B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395EA2">
        <w:rPr>
          <w:rFonts w:ascii="Times New Roman" w:hAnsi="Times New Roman" w:cs="Times New Roman"/>
          <w:sz w:val="24"/>
          <w:szCs w:val="24"/>
        </w:rPr>
        <w:t>13</w:t>
      </w:r>
      <w:r w:rsidRPr="0093147D">
        <w:rPr>
          <w:rFonts w:ascii="Times New Roman" w:hAnsi="Times New Roman" w:cs="Times New Roman"/>
          <w:sz w:val="24"/>
          <w:szCs w:val="24"/>
        </w:rPr>
        <w:t>.5. Не прикасаться к открытым и не</w:t>
      </w:r>
      <w:r w:rsidR="00E109E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огражденным токоведущим частям оборудования, оголенным и с поврежденной изоляцией проводам.</w:t>
      </w:r>
    </w:p>
    <w:p w:rsidR="00794D8B" w:rsidRPr="0093147D" w:rsidRDefault="00794D8B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395EA2">
        <w:rPr>
          <w:rFonts w:ascii="Times New Roman" w:hAnsi="Times New Roman" w:cs="Times New Roman"/>
          <w:sz w:val="24"/>
          <w:szCs w:val="24"/>
        </w:rPr>
        <w:t>13</w:t>
      </w:r>
      <w:r w:rsidRPr="0093147D">
        <w:rPr>
          <w:rFonts w:ascii="Times New Roman" w:hAnsi="Times New Roman" w:cs="Times New Roman"/>
          <w:sz w:val="24"/>
          <w:szCs w:val="24"/>
        </w:rPr>
        <w:t>.6. В случае любых неполадок, таких, как появление резкого запаха, огня, необычного шума, перегрева, и т. д. немедленно отключить оборудование.</w:t>
      </w:r>
    </w:p>
    <w:p w:rsidR="00794D8B" w:rsidRPr="0093147D" w:rsidRDefault="00794D8B" w:rsidP="00830E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95EA2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.7. Отключать все приборы при прекращении подачи электроэнергии.</w:t>
      </w:r>
    </w:p>
    <w:p w:rsidR="00794D8B" w:rsidRPr="0093147D" w:rsidRDefault="00794D8B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95EA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.8. Не тяните за электрический шнур, чтобы вытащить вилку из розетки.</w:t>
      </w:r>
    </w:p>
    <w:p w:rsidR="00794D8B" w:rsidRPr="0093147D" w:rsidRDefault="00AE165E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395EA2">
        <w:rPr>
          <w:rFonts w:ascii="Times New Roman" w:hAnsi="Times New Roman" w:cs="Times New Roman"/>
          <w:sz w:val="24"/>
          <w:szCs w:val="24"/>
        </w:rPr>
        <w:t>14</w:t>
      </w:r>
      <w:r w:rsidR="00794D8B" w:rsidRPr="0093147D">
        <w:rPr>
          <w:rFonts w:ascii="Times New Roman" w:hAnsi="Times New Roman" w:cs="Times New Roman"/>
          <w:sz w:val="24"/>
          <w:szCs w:val="24"/>
        </w:rPr>
        <w:t>. Не использовать для сидения случайные предметы (ящики, бочки и т.п.), оборудование.</w:t>
      </w:r>
    </w:p>
    <w:p w:rsidR="00794D8B" w:rsidRPr="0093147D" w:rsidRDefault="00794D8B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395EA2">
        <w:rPr>
          <w:rFonts w:ascii="Times New Roman" w:hAnsi="Times New Roman" w:cs="Times New Roman"/>
          <w:sz w:val="24"/>
          <w:szCs w:val="24"/>
        </w:rPr>
        <w:t>15</w:t>
      </w:r>
      <w:r w:rsidRPr="0093147D">
        <w:rPr>
          <w:rFonts w:ascii="Times New Roman" w:hAnsi="Times New Roman" w:cs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AE165E" w:rsidRPr="0093147D" w:rsidRDefault="00AE165E" w:rsidP="00830ED2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830ED2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AE165E" w:rsidRPr="0093147D" w:rsidRDefault="00AE165E" w:rsidP="00830ED2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E272A8" w:rsidRPr="0093147D" w:rsidRDefault="00AE165E" w:rsidP="00830ED2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4E2B3F">
        <w:rPr>
          <w:rFonts w:ascii="Times New Roman" w:hAnsi="Times New Roman" w:cs="Times New Roman"/>
          <w:color w:val="000000"/>
          <w:lang w:bidi="he-IL"/>
        </w:rPr>
        <w:t>настройщика музыкальных инструментов</w:t>
      </w:r>
      <w:r w:rsidR="00687E24"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>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E272A8" w:rsidRPr="00B14938" w:rsidRDefault="00E272A8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938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E272A8" w:rsidRPr="0093147D" w:rsidRDefault="00E272A8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4938">
        <w:rPr>
          <w:rFonts w:ascii="Times New Roman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3147D" w:rsidRDefault="00536D6E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E2B3F">
        <w:rPr>
          <w:rFonts w:ascii="Times New Roman" w:hAnsi="Times New Roman" w:cs="Times New Roman"/>
          <w:sz w:val="24"/>
          <w:szCs w:val="24"/>
        </w:rPr>
        <w:t>Настройщик музыкальных инструментов</w:t>
      </w:r>
      <w:r w:rsidR="00687E24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работников и </w:t>
      </w:r>
      <w:r w:rsidR="00A0739F">
        <w:rPr>
          <w:rFonts w:ascii="Times New Roman" w:hAnsi="Times New Roman" w:cs="Times New Roman"/>
          <w:sz w:val="24"/>
          <w:szCs w:val="24"/>
          <w:lang w:eastAsia="ru-RU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4E2B3F">
        <w:rPr>
          <w:rFonts w:ascii="Times New Roman" w:hAnsi="Times New Roman" w:cs="Times New Roman"/>
          <w:sz w:val="24"/>
          <w:szCs w:val="24"/>
        </w:rPr>
        <w:t>настройщик музыкальных инструментов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445B1E">
        <w:rPr>
          <w:rFonts w:ascii="Times New Roman" w:hAnsi="Times New Roman" w:cs="Times New Roman"/>
          <w:sz w:val="24"/>
          <w:szCs w:val="24"/>
        </w:rPr>
        <w:t>МКУДО БДШИ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687E24">
        <w:rPr>
          <w:rFonts w:ascii="Times New Roman" w:hAnsi="Times New Roman" w:cs="Times New Roman"/>
          <w:sz w:val="24"/>
          <w:szCs w:val="24"/>
        </w:rPr>
        <w:t>настройщик</w:t>
      </w:r>
      <w:r w:rsidR="004975F6" w:rsidRPr="0093147D">
        <w:rPr>
          <w:rFonts w:ascii="Times New Roman" w:hAnsi="Times New Roman" w:cs="Times New Roman"/>
          <w:sz w:val="24"/>
          <w:szCs w:val="24"/>
        </w:rPr>
        <w:t>ом</w:t>
      </w:r>
      <w:r w:rsidR="00687E24" w:rsidRPr="00687E24">
        <w:rPr>
          <w:rFonts w:ascii="Times New Roman" w:hAnsi="Times New Roman" w:cs="Times New Roman"/>
          <w:sz w:val="24"/>
          <w:szCs w:val="24"/>
        </w:rPr>
        <w:t xml:space="preserve"> </w:t>
      </w:r>
      <w:r w:rsidR="00D955A3">
        <w:rPr>
          <w:rFonts w:ascii="Times New Roman" w:hAnsi="Times New Roman" w:cs="Times New Roman"/>
          <w:sz w:val="24"/>
          <w:szCs w:val="24"/>
        </w:rPr>
        <w:t>фортепиано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445B1E">
        <w:rPr>
          <w:rFonts w:ascii="Times New Roman" w:hAnsi="Times New Roman" w:cs="Times New Roman"/>
          <w:sz w:val="24"/>
          <w:szCs w:val="24"/>
        </w:rPr>
        <w:t>МКУДО БДШИ</w:t>
      </w:r>
      <w:r w:rsidR="004E2B3F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:rsidR="00536D6E" w:rsidRPr="0093147D" w:rsidRDefault="00536D6E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E2B3F">
        <w:rPr>
          <w:rFonts w:ascii="Times New Roman" w:hAnsi="Times New Roman" w:cs="Times New Roman"/>
          <w:sz w:val="24"/>
          <w:szCs w:val="24"/>
        </w:rPr>
        <w:t>Настройщику музыкальных инструментов</w:t>
      </w:r>
      <w:r w:rsidR="00687E24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необходимо уметь оказывать первую помощь пострадавшему.</w:t>
      </w:r>
    </w:p>
    <w:p w:rsidR="009C055F" w:rsidRPr="0093147D" w:rsidRDefault="00536D6E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Default="009C055F" w:rsidP="00830ED2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E109EF" w:rsidRPr="0093147D" w:rsidRDefault="00E109EF" w:rsidP="00830ED2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</w:p>
    <w:p w:rsidR="00445B1E" w:rsidRPr="00E109EF" w:rsidRDefault="00445B1E" w:rsidP="00E10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109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Телефоны экстренных служб Бисертского городского округа</w:t>
      </w:r>
    </w:p>
    <w:tbl>
      <w:tblPr>
        <w:tblStyle w:val="1"/>
        <w:tblW w:w="10381" w:type="dxa"/>
        <w:tblLook w:val="01E0" w:firstRow="1" w:lastRow="1" w:firstColumn="1" w:lastColumn="1" w:noHBand="0" w:noVBand="0"/>
      </w:tblPr>
      <w:tblGrid>
        <w:gridCol w:w="8200"/>
        <w:gridCol w:w="2181"/>
      </w:tblGrid>
      <w:tr w:rsidR="00445B1E" w:rsidRPr="00E109EF" w:rsidTr="00E109EF">
        <w:trPr>
          <w:trHeight w:val="269"/>
        </w:trPr>
        <w:tc>
          <w:tcPr>
            <w:tcW w:w="10381" w:type="dxa"/>
            <w:gridSpan w:val="2"/>
          </w:tcPr>
          <w:p w:rsidR="00445B1E" w:rsidRPr="00E109EF" w:rsidRDefault="00445B1E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109EF">
              <w:rPr>
                <w:sz w:val="24"/>
                <w:szCs w:val="28"/>
              </w:rPr>
              <w:t>С городского/сотового телефона</w:t>
            </w:r>
          </w:p>
        </w:tc>
      </w:tr>
      <w:tr w:rsidR="00445B1E" w:rsidRPr="00E109EF" w:rsidTr="00E109EF">
        <w:trPr>
          <w:trHeight w:val="269"/>
        </w:trPr>
        <w:tc>
          <w:tcPr>
            <w:tcW w:w="8200" w:type="dxa"/>
          </w:tcPr>
          <w:p w:rsidR="00445B1E" w:rsidRPr="00E109EF" w:rsidRDefault="00445B1E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109EF">
              <w:rPr>
                <w:b/>
                <w:bCs/>
                <w:sz w:val="24"/>
                <w:szCs w:val="28"/>
              </w:rPr>
              <w:t>Единый телефон пожарных и спасателей</w:t>
            </w:r>
          </w:p>
        </w:tc>
        <w:tc>
          <w:tcPr>
            <w:tcW w:w="2181" w:type="dxa"/>
          </w:tcPr>
          <w:p w:rsidR="00445B1E" w:rsidRPr="00E109EF" w:rsidRDefault="00445B1E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109EF">
              <w:rPr>
                <w:sz w:val="24"/>
                <w:szCs w:val="28"/>
              </w:rPr>
              <w:t>01/101</w:t>
            </w:r>
          </w:p>
        </w:tc>
      </w:tr>
      <w:tr w:rsidR="00445B1E" w:rsidRPr="00E109EF" w:rsidTr="00E109EF">
        <w:trPr>
          <w:trHeight w:val="269"/>
        </w:trPr>
        <w:tc>
          <w:tcPr>
            <w:tcW w:w="8200" w:type="dxa"/>
          </w:tcPr>
          <w:p w:rsidR="00445B1E" w:rsidRPr="00E109EF" w:rsidRDefault="00445B1E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109EF">
              <w:rPr>
                <w:b/>
                <w:bCs/>
                <w:sz w:val="24"/>
                <w:szCs w:val="28"/>
              </w:rPr>
              <w:t>Полиция</w:t>
            </w:r>
          </w:p>
        </w:tc>
        <w:tc>
          <w:tcPr>
            <w:tcW w:w="2181" w:type="dxa"/>
          </w:tcPr>
          <w:p w:rsidR="00445B1E" w:rsidRPr="00E109EF" w:rsidRDefault="00445B1E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109EF">
              <w:rPr>
                <w:sz w:val="24"/>
                <w:szCs w:val="28"/>
              </w:rPr>
              <w:t>02/102</w:t>
            </w:r>
          </w:p>
        </w:tc>
      </w:tr>
      <w:tr w:rsidR="00445B1E" w:rsidRPr="00E109EF" w:rsidTr="00E109EF">
        <w:trPr>
          <w:trHeight w:val="258"/>
        </w:trPr>
        <w:tc>
          <w:tcPr>
            <w:tcW w:w="8200" w:type="dxa"/>
          </w:tcPr>
          <w:p w:rsidR="00445B1E" w:rsidRPr="00E109EF" w:rsidRDefault="00445B1E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109EF">
              <w:rPr>
                <w:b/>
                <w:bCs/>
                <w:sz w:val="24"/>
                <w:szCs w:val="28"/>
              </w:rPr>
              <w:t>Скорая помощь</w:t>
            </w:r>
          </w:p>
        </w:tc>
        <w:tc>
          <w:tcPr>
            <w:tcW w:w="2181" w:type="dxa"/>
          </w:tcPr>
          <w:p w:rsidR="00445B1E" w:rsidRPr="00E109EF" w:rsidRDefault="00445B1E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109EF">
              <w:rPr>
                <w:sz w:val="24"/>
                <w:szCs w:val="28"/>
              </w:rPr>
              <w:t>03/103</w:t>
            </w:r>
          </w:p>
        </w:tc>
      </w:tr>
      <w:tr w:rsidR="00445B1E" w:rsidRPr="00E109EF" w:rsidTr="00E109EF">
        <w:trPr>
          <w:trHeight w:val="269"/>
        </w:trPr>
        <w:tc>
          <w:tcPr>
            <w:tcW w:w="8200" w:type="dxa"/>
          </w:tcPr>
          <w:p w:rsidR="00445B1E" w:rsidRPr="00E109EF" w:rsidRDefault="00445B1E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109EF">
              <w:rPr>
                <w:b/>
                <w:bCs/>
                <w:sz w:val="24"/>
                <w:szCs w:val="28"/>
              </w:rPr>
              <w:t>Аварийная газовая служба</w:t>
            </w:r>
          </w:p>
        </w:tc>
        <w:tc>
          <w:tcPr>
            <w:tcW w:w="2181" w:type="dxa"/>
          </w:tcPr>
          <w:p w:rsidR="00445B1E" w:rsidRPr="00E109EF" w:rsidRDefault="00445B1E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109EF">
              <w:rPr>
                <w:sz w:val="24"/>
                <w:szCs w:val="28"/>
              </w:rPr>
              <w:t>04/104</w:t>
            </w:r>
          </w:p>
        </w:tc>
      </w:tr>
      <w:tr w:rsidR="00445B1E" w:rsidRPr="00E109EF" w:rsidTr="00E109EF">
        <w:trPr>
          <w:trHeight w:val="269"/>
        </w:trPr>
        <w:tc>
          <w:tcPr>
            <w:tcW w:w="8200" w:type="dxa"/>
          </w:tcPr>
          <w:p w:rsidR="00445B1E" w:rsidRPr="00E109EF" w:rsidRDefault="00445B1E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109EF">
              <w:rPr>
                <w:b/>
                <w:bCs/>
                <w:color w:val="000000"/>
                <w:sz w:val="24"/>
                <w:szCs w:val="28"/>
              </w:rPr>
              <w:t>Единый телефон вызова экстренных служб</w:t>
            </w:r>
          </w:p>
        </w:tc>
        <w:tc>
          <w:tcPr>
            <w:tcW w:w="2181" w:type="dxa"/>
          </w:tcPr>
          <w:p w:rsidR="00445B1E" w:rsidRPr="00E109EF" w:rsidRDefault="00445B1E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109EF">
              <w:rPr>
                <w:b/>
                <w:bCs/>
                <w:color w:val="000000"/>
                <w:sz w:val="24"/>
                <w:szCs w:val="28"/>
              </w:rPr>
              <w:t>112</w:t>
            </w:r>
          </w:p>
        </w:tc>
      </w:tr>
    </w:tbl>
    <w:p w:rsidR="00220AB0" w:rsidRDefault="00220AB0" w:rsidP="008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D3D05" w:rsidRPr="0093147D" w:rsidRDefault="00DD3D05" w:rsidP="008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245416" w:rsidRPr="0093147D" w:rsidRDefault="00245416" w:rsidP="00830ED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Pr="0093147D" w:rsidRDefault="005C7445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5C7445" w:rsidRDefault="005C7445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0B0D77">
        <w:rPr>
          <w:rFonts w:ascii="Times New Roman" w:hAnsi="Times New Roman" w:cs="Times New Roman"/>
          <w:sz w:val="24"/>
          <w:szCs w:val="24"/>
          <w:lang w:bidi="he-IL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0B0D77">
        <w:rPr>
          <w:rFonts w:ascii="Times New Roman" w:hAnsi="Times New Roman" w:cs="Times New Roman"/>
          <w:sz w:val="24"/>
          <w:szCs w:val="24"/>
          <w:lang w:bidi="he-IL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0B0D77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Default="004D298F" w:rsidP="00830E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09EF" w:rsidRDefault="00E109EF" w:rsidP="00830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9EF" w:rsidRDefault="00E109EF" w:rsidP="00830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B0F" w:rsidRPr="00EF5C89" w:rsidRDefault="00725B0F" w:rsidP="00830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F5C89" w:rsidRDefault="00725B0F" w:rsidP="00830ED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830E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830E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830E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830E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830E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830E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830E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830E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830E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938" w:rsidRPr="00EF5C89" w:rsidRDefault="00B14938" w:rsidP="00830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4938" w:rsidRPr="00EF5C89" w:rsidSect="00445B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C93" w:rsidRDefault="00B15C93" w:rsidP="0098668C">
      <w:pPr>
        <w:spacing w:after="0" w:line="240" w:lineRule="auto"/>
      </w:pPr>
      <w:r>
        <w:separator/>
      </w:r>
    </w:p>
  </w:endnote>
  <w:endnote w:type="continuationSeparator" w:id="0">
    <w:p w:rsidR="00B15C93" w:rsidRDefault="00B15C93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97839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76F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C93" w:rsidRDefault="00B15C93" w:rsidP="0098668C">
      <w:pPr>
        <w:spacing w:after="0" w:line="240" w:lineRule="auto"/>
      </w:pPr>
      <w:r>
        <w:separator/>
      </w:r>
    </w:p>
  </w:footnote>
  <w:footnote w:type="continuationSeparator" w:id="0">
    <w:p w:rsidR="00B15C93" w:rsidRDefault="00B15C93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C6D1935"/>
    <w:multiLevelType w:val="hybridMultilevel"/>
    <w:tmpl w:val="84A8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C5244"/>
    <w:multiLevelType w:val="hybridMultilevel"/>
    <w:tmpl w:val="9544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14070DE"/>
    <w:multiLevelType w:val="hybridMultilevel"/>
    <w:tmpl w:val="6324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53D33"/>
    <w:multiLevelType w:val="hybridMultilevel"/>
    <w:tmpl w:val="FCA2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C"/>
    <w:rsid w:val="00003D71"/>
    <w:rsid w:val="000120EB"/>
    <w:rsid w:val="00025180"/>
    <w:rsid w:val="00042010"/>
    <w:rsid w:val="00054A9F"/>
    <w:rsid w:val="000603C9"/>
    <w:rsid w:val="000646EC"/>
    <w:rsid w:val="00070D99"/>
    <w:rsid w:val="00072F7F"/>
    <w:rsid w:val="00075FC8"/>
    <w:rsid w:val="0007652C"/>
    <w:rsid w:val="00076DC7"/>
    <w:rsid w:val="000904A2"/>
    <w:rsid w:val="000A0966"/>
    <w:rsid w:val="000B0D77"/>
    <w:rsid w:val="000B2F3C"/>
    <w:rsid w:val="000B40B7"/>
    <w:rsid w:val="000B563E"/>
    <w:rsid w:val="000B5EBA"/>
    <w:rsid w:val="000C1458"/>
    <w:rsid w:val="000C4336"/>
    <w:rsid w:val="000D6237"/>
    <w:rsid w:val="001123DC"/>
    <w:rsid w:val="00113C83"/>
    <w:rsid w:val="00121D4D"/>
    <w:rsid w:val="00122F32"/>
    <w:rsid w:val="00123FE0"/>
    <w:rsid w:val="0013504B"/>
    <w:rsid w:val="00135493"/>
    <w:rsid w:val="001372A5"/>
    <w:rsid w:val="00153393"/>
    <w:rsid w:val="00194461"/>
    <w:rsid w:val="001A3A04"/>
    <w:rsid w:val="001A6290"/>
    <w:rsid w:val="001A7184"/>
    <w:rsid w:val="001C5029"/>
    <w:rsid w:val="001D2D46"/>
    <w:rsid w:val="001D69EC"/>
    <w:rsid w:val="001D76FD"/>
    <w:rsid w:val="001E1B3C"/>
    <w:rsid w:val="001F10F9"/>
    <w:rsid w:val="001F2B1D"/>
    <w:rsid w:val="001F5D1B"/>
    <w:rsid w:val="001F6201"/>
    <w:rsid w:val="00211E1F"/>
    <w:rsid w:val="00211FB6"/>
    <w:rsid w:val="00215EB6"/>
    <w:rsid w:val="00220AB0"/>
    <w:rsid w:val="00226351"/>
    <w:rsid w:val="00231F17"/>
    <w:rsid w:val="00236007"/>
    <w:rsid w:val="0023697C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3F1C"/>
    <w:rsid w:val="002B49F7"/>
    <w:rsid w:val="002B791E"/>
    <w:rsid w:val="002C1235"/>
    <w:rsid w:val="002C39D2"/>
    <w:rsid w:val="002C5AF8"/>
    <w:rsid w:val="002D75F2"/>
    <w:rsid w:val="002E23F5"/>
    <w:rsid w:val="002E31F0"/>
    <w:rsid w:val="002F280F"/>
    <w:rsid w:val="002F4A06"/>
    <w:rsid w:val="002F5915"/>
    <w:rsid w:val="0030373D"/>
    <w:rsid w:val="003046DF"/>
    <w:rsid w:val="00315466"/>
    <w:rsid w:val="003414D0"/>
    <w:rsid w:val="00344123"/>
    <w:rsid w:val="00346F6F"/>
    <w:rsid w:val="00347E32"/>
    <w:rsid w:val="00352C05"/>
    <w:rsid w:val="003564BB"/>
    <w:rsid w:val="00360D99"/>
    <w:rsid w:val="00363F62"/>
    <w:rsid w:val="003730B4"/>
    <w:rsid w:val="00375919"/>
    <w:rsid w:val="00395EA2"/>
    <w:rsid w:val="003A6374"/>
    <w:rsid w:val="003B53AB"/>
    <w:rsid w:val="003B6CB7"/>
    <w:rsid w:val="003C7FBE"/>
    <w:rsid w:val="003D1E4E"/>
    <w:rsid w:val="003D63D7"/>
    <w:rsid w:val="003E055E"/>
    <w:rsid w:val="003E5BF4"/>
    <w:rsid w:val="003F368C"/>
    <w:rsid w:val="00402395"/>
    <w:rsid w:val="00415BC6"/>
    <w:rsid w:val="00420CAD"/>
    <w:rsid w:val="00422B57"/>
    <w:rsid w:val="004415C0"/>
    <w:rsid w:val="00445B1E"/>
    <w:rsid w:val="00462529"/>
    <w:rsid w:val="00463CE0"/>
    <w:rsid w:val="00481205"/>
    <w:rsid w:val="0048192F"/>
    <w:rsid w:val="00487C67"/>
    <w:rsid w:val="00492271"/>
    <w:rsid w:val="0049756C"/>
    <w:rsid w:val="004975F6"/>
    <w:rsid w:val="004A7FF4"/>
    <w:rsid w:val="004C49CB"/>
    <w:rsid w:val="004C6ADB"/>
    <w:rsid w:val="004D0550"/>
    <w:rsid w:val="004D298F"/>
    <w:rsid w:val="004E0BF1"/>
    <w:rsid w:val="004E2B3F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658E8"/>
    <w:rsid w:val="005747A2"/>
    <w:rsid w:val="00582D23"/>
    <w:rsid w:val="00586F4B"/>
    <w:rsid w:val="005A0F4E"/>
    <w:rsid w:val="005A1C2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21574"/>
    <w:rsid w:val="00650028"/>
    <w:rsid w:val="006532F2"/>
    <w:rsid w:val="00662F1F"/>
    <w:rsid w:val="006878F1"/>
    <w:rsid w:val="00687E24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64C8"/>
    <w:rsid w:val="006F7E8E"/>
    <w:rsid w:val="007029A1"/>
    <w:rsid w:val="00705F29"/>
    <w:rsid w:val="007077ED"/>
    <w:rsid w:val="00713AD3"/>
    <w:rsid w:val="00725B0F"/>
    <w:rsid w:val="00730662"/>
    <w:rsid w:val="007503E4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A17"/>
    <w:rsid w:val="00802F9D"/>
    <w:rsid w:val="0081038A"/>
    <w:rsid w:val="00814FDA"/>
    <w:rsid w:val="00817857"/>
    <w:rsid w:val="00830ED2"/>
    <w:rsid w:val="00831331"/>
    <w:rsid w:val="00831334"/>
    <w:rsid w:val="00833BE0"/>
    <w:rsid w:val="00835546"/>
    <w:rsid w:val="0085246B"/>
    <w:rsid w:val="0086092D"/>
    <w:rsid w:val="00864368"/>
    <w:rsid w:val="00866B04"/>
    <w:rsid w:val="00872332"/>
    <w:rsid w:val="00872ADE"/>
    <w:rsid w:val="00873579"/>
    <w:rsid w:val="00882C86"/>
    <w:rsid w:val="008855ED"/>
    <w:rsid w:val="00885CB7"/>
    <w:rsid w:val="00893801"/>
    <w:rsid w:val="008940D3"/>
    <w:rsid w:val="008B6F51"/>
    <w:rsid w:val="008D64FA"/>
    <w:rsid w:val="008F0FB5"/>
    <w:rsid w:val="008F6D5B"/>
    <w:rsid w:val="009013D2"/>
    <w:rsid w:val="00913C60"/>
    <w:rsid w:val="00920B5F"/>
    <w:rsid w:val="009227E8"/>
    <w:rsid w:val="0093147D"/>
    <w:rsid w:val="00946485"/>
    <w:rsid w:val="00946AC9"/>
    <w:rsid w:val="0095363F"/>
    <w:rsid w:val="00970BBC"/>
    <w:rsid w:val="00975355"/>
    <w:rsid w:val="0098668C"/>
    <w:rsid w:val="009A35CD"/>
    <w:rsid w:val="009A7FAF"/>
    <w:rsid w:val="009B0CA4"/>
    <w:rsid w:val="009B40EC"/>
    <w:rsid w:val="009B4E1F"/>
    <w:rsid w:val="009C055F"/>
    <w:rsid w:val="009C1A39"/>
    <w:rsid w:val="009C23C0"/>
    <w:rsid w:val="009D29E4"/>
    <w:rsid w:val="009E2DE4"/>
    <w:rsid w:val="009F466C"/>
    <w:rsid w:val="00A00BE7"/>
    <w:rsid w:val="00A0739F"/>
    <w:rsid w:val="00A07A53"/>
    <w:rsid w:val="00A15C39"/>
    <w:rsid w:val="00A16C2D"/>
    <w:rsid w:val="00A307BA"/>
    <w:rsid w:val="00A310B2"/>
    <w:rsid w:val="00A3231F"/>
    <w:rsid w:val="00A421CB"/>
    <w:rsid w:val="00A42759"/>
    <w:rsid w:val="00A5057F"/>
    <w:rsid w:val="00A53D03"/>
    <w:rsid w:val="00A56A8F"/>
    <w:rsid w:val="00A5717C"/>
    <w:rsid w:val="00A65562"/>
    <w:rsid w:val="00A657B6"/>
    <w:rsid w:val="00A806AF"/>
    <w:rsid w:val="00A84EB7"/>
    <w:rsid w:val="00A9139E"/>
    <w:rsid w:val="00A959CD"/>
    <w:rsid w:val="00A95CAB"/>
    <w:rsid w:val="00AA3553"/>
    <w:rsid w:val="00AB275D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245"/>
    <w:rsid w:val="00AF1BE7"/>
    <w:rsid w:val="00AF2216"/>
    <w:rsid w:val="00AF2F6A"/>
    <w:rsid w:val="00AF4D26"/>
    <w:rsid w:val="00AF722D"/>
    <w:rsid w:val="00AF7BC4"/>
    <w:rsid w:val="00B13197"/>
    <w:rsid w:val="00B1375B"/>
    <w:rsid w:val="00B14938"/>
    <w:rsid w:val="00B15C93"/>
    <w:rsid w:val="00B17254"/>
    <w:rsid w:val="00B17EFC"/>
    <w:rsid w:val="00B21F47"/>
    <w:rsid w:val="00B23874"/>
    <w:rsid w:val="00B24CC2"/>
    <w:rsid w:val="00B362F9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1350"/>
    <w:rsid w:val="00BB683B"/>
    <w:rsid w:val="00BB7AA9"/>
    <w:rsid w:val="00BC200B"/>
    <w:rsid w:val="00BD014F"/>
    <w:rsid w:val="00BD1B3E"/>
    <w:rsid w:val="00BD74A4"/>
    <w:rsid w:val="00BE3940"/>
    <w:rsid w:val="00BE48FB"/>
    <w:rsid w:val="00BE49C9"/>
    <w:rsid w:val="00C06994"/>
    <w:rsid w:val="00C13A2E"/>
    <w:rsid w:val="00C145B9"/>
    <w:rsid w:val="00C228BC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A27EE"/>
    <w:rsid w:val="00CA5A2D"/>
    <w:rsid w:val="00CB2B3A"/>
    <w:rsid w:val="00CB3F91"/>
    <w:rsid w:val="00CB4688"/>
    <w:rsid w:val="00CD4666"/>
    <w:rsid w:val="00CE0927"/>
    <w:rsid w:val="00CE4644"/>
    <w:rsid w:val="00CE71F9"/>
    <w:rsid w:val="00CF029E"/>
    <w:rsid w:val="00CF4757"/>
    <w:rsid w:val="00CF7812"/>
    <w:rsid w:val="00D143BC"/>
    <w:rsid w:val="00D1664E"/>
    <w:rsid w:val="00D24D6D"/>
    <w:rsid w:val="00D2577E"/>
    <w:rsid w:val="00D26312"/>
    <w:rsid w:val="00D26BA6"/>
    <w:rsid w:val="00D3167F"/>
    <w:rsid w:val="00D347C9"/>
    <w:rsid w:val="00D4453B"/>
    <w:rsid w:val="00D50004"/>
    <w:rsid w:val="00D66072"/>
    <w:rsid w:val="00D704A4"/>
    <w:rsid w:val="00D706BD"/>
    <w:rsid w:val="00D75DF0"/>
    <w:rsid w:val="00D871A8"/>
    <w:rsid w:val="00D955A3"/>
    <w:rsid w:val="00D971CD"/>
    <w:rsid w:val="00DB667A"/>
    <w:rsid w:val="00DB7F9B"/>
    <w:rsid w:val="00DD0447"/>
    <w:rsid w:val="00DD3D05"/>
    <w:rsid w:val="00DF03CD"/>
    <w:rsid w:val="00DF3BC3"/>
    <w:rsid w:val="00E109EF"/>
    <w:rsid w:val="00E1161C"/>
    <w:rsid w:val="00E128C3"/>
    <w:rsid w:val="00E14B40"/>
    <w:rsid w:val="00E22B79"/>
    <w:rsid w:val="00E272A8"/>
    <w:rsid w:val="00E326DE"/>
    <w:rsid w:val="00E60C5D"/>
    <w:rsid w:val="00E6121F"/>
    <w:rsid w:val="00E728AE"/>
    <w:rsid w:val="00E77B0D"/>
    <w:rsid w:val="00E90B6B"/>
    <w:rsid w:val="00E932CF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F515EF"/>
    <w:rsid w:val="00F52DD0"/>
    <w:rsid w:val="00F6228C"/>
    <w:rsid w:val="00F816CE"/>
    <w:rsid w:val="00F917BF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AE214-4943-4A20-9B5B-C5A36938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122F32"/>
  </w:style>
  <w:style w:type="character" w:customStyle="1" w:styleId="graytitle">
    <w:name w:val="graytitle"/>
    <w:basedOn w:val="a0"/>
    <w:rsid w:val="00CA5A2D"/>
  </w:style>
  <w:style w:type="table" w:customStyle="1" w:styleId="1">
    <w:name w:val="Сетка таблицы1"/>
    <w:basedOn w:val="a1"/>
    <w:next w:val="a3"/>
    <w:rsid w:val="00445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519E-B4E5-4423-BB79-43400D98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Admin</cp:lastModifiedBy>
  <cp:revision>6</cp:revision>
  <cp:lastPrinted>2024-02-09T10:42:00Z</cp:lastPrinted>
  <dcterms:created xsi:type="dcterms:W3CDTF">2022-03-16T06:56:00Z</dcterms:created>
  <dcterms:modified xsi:type="dcterms:W3CDTF">2024-04-11T08:13:00Z</dcterms:modified>
</cp:coreProperties>
</file>